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
        <w:gridCol w:w="6"/>
        <w:gridCol w:w="9296"/>
        <w:gridCol w:w="20"/>
        <w:gridCol w:w="20"/>
        <w:gridCol w:w="6"/>
        <w:gridCol w:w="6"/>
      </w:tblGrid>
      <w:tr w:rsidR="001D431A" w:rsidRPr="001D431A" w:rsidTr="001D431A">
        <w:trPr>
          <w:trHeight w:val="15"/>
          <w:tblCellSpacing w:w="0" w:type="dxa"/>
        </w:trPr>
        <w:tc>
          <w:tcPr>
            <w:tcW w:w="0" w:type="auto"/>
            <w:vMerge w:val="restart"/>
            <w:vAlign w:val="center"/>
            <w:hideMark/>
          </w:tcPr>
          <w:p w:rsidR="001D431A" w:rsidRPr="001D431A" w:rsidRDefault="001D431A" w:rsidP="001D431A">
            <w:pPr>
              <w:spacing w:after="0" w:line="240" w:lineRule="auto"/>
              <w:rPr>
                <w:rFonts w:ascii="Verdana" w:eastAsia="Times New Roman" w:hAnsi="Verdana" w:cs="Times New Roman"/>
                <w:color w:val="000000"/>
                <w:sz w:val="24"/>
                <w:szCs w:val="24"/>
              </w:rPr>
            </w:pPr>
          </w:p>
        </w:tc>
        <w:tc>
          <w:tcPr>
            <w:tcW w:w="0" w:type="auto"/>
            <w:gridSpan w:val="5"/>
            <w:vAlign w:val="center"/>
            <w:hideMark/>
          </w:tcPr>
          <w:p w:rsidR="001D431A" w:rsidRPr="001D431A" w:rsidRDefault="001D431A" w:rsidP="001D431A">
            <w:pPr>
              <w:spacing w:after="0" w:line="240" w:lineRule="auto"/>
              <w:rPr>
                <w:rFonts w:ascii="Verdana" w:eastAsia="Times New Roman" w:hAnsi="Verdana" w:cs="Times New Roman"/>
                <w:color w:val="000000"/>
                <w:sz w:val="2"/>
                <w:szCs w:val="24"/>
              </w:rPr>
            </w:pPr>
          </w:p>
        </w:tc>
        <w:tc>
          <w:tcPr>
            <w:tcW w:w="0" w:type="auto"/>
            <w:vMerge w:val="restart"/>
            <w:vAlign w:val="center"/>
            <w:hideMark/>
          </w:tcPr>
          <w:p w:rsidR="001D431A" w:rsidRPr="001D431A" w:rsidRDefault="001D431A" w:rsidP="001D431A">
            <w:pPr>
              <w:spacing w:after="0" w:line="240" w:lineRule="auto"/>
              <w:rPr>
                <w:rFonts w:ascii="Verdana" w:eastAsia="Times New Roman" w:hAnsi="Verdana" w:cs="Times New Roman"/>
                <w:color w:val="000000"/>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Verdana" w:eastAsia="Times New Roman" w:hAnsi="Verdana" w:cs="Times New Roman"/>
                <w:color w:val="000000"/>
                <w:sz w:val="24"/>
                <w:szCs w:val="24"/>
              </w:rPr>
            </w:pPr>
          </w:p>
        </w:tc>
        <w:tc>
          <w:tcPr>
            <w:tcW w:w="0" w:type="auto"/>
            <w:gridSpan w:val="5"/>
            <w:vAlign w:val="center"/>
            <w:hideMark/>
          </w:tcPr>
          <w:p w:rsidR="001D431A" w:rsidRPr="001D431A" w:rsidRDefault="001D431A" w:rsidP="001D431A">
            <w:pPr>
              <w:spacing w:after="0" w:line="240" w:lineRule="auto"/>
              <w:rPr>
                <w:rFonts w:ascii="Verdana" w:eastAsia="Times New Roman" w:hAnsi="Verdana" w:cs="Times New Roman"/>
                <w:b/>
                <w:color w:val="000000"/>
                <w:sz w:val="24"/>
                <w:szCs w:val="24"/>
              </w:rPr>
            </w:pPr>
            <w:r w:rsidRPr="001D431A">
              <w:rPr>
                <w:rFonts w:ascii="Verdana" w:eastAsia="Times New Roman" w:hAnsi="Verdana" w:cs="Times New Roman"/>
                <w:b/>
                <w:color w:val="000000"/>
                <w:sz w:val="24"/>
                <w:szCs w:val="24"/>
              </w:rPr>
              <w:t>Leave Buyout Plan</w:t>
            </w:r>
          </w:p>
          <w:p w:rsidR="001D431A" w:rsidRPr="001D431A" w:rsidRDefault="001D431A" w:rsidP="001D431A">
            <w:pPr>
              <w:spacing w:after="0" w:line="240" w:lineRule="auto"/>
              <w:rPr>
                <w:rFonts w:ascii="Verdana" w:eastAsia="Times New Roman" w:hAnsi="Verdana" w:cs="Times New Roman"/>
                <w:color w:val="000000"/>
                <w:sz w:val="24"/>
                <w:szCs w:val="24"/>
              </w:rPr>
            </w:pPr>
          </w:p>
        </w:tc>
        <w:tc>
          <w:tcPr>
            <w:tcW w:w="0" w:type="auto"/>
            <w:vMerge/>
            <w:vAlign w:val="center"/>
            <w:hideMark/>
          </w:tcPr>
          <w:p w:rsidR="001D431A" w:rsidRPr="001D431A" w:rsidRDefault="001D431A" w:rsidP="001D431A">
            <w:pPr>
              <w:spacing w:after="0" w:line="240" w:lineRule="auto"/>
              <w:rPr>
                <w:rFonts w:ascii="Verdana" w:eastAsia="Times New Roman" w:hAnsi="Verdana" w:cs="Times New Roman"/>
                <w:color w:val="000000"/>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before="100" w:beforeAutospacing="1" w:after="100" w:afterAutospacing="1" w:line="240" w:lineRule="auto"/>
              <w:rPr>
                <w:rFonts w:ascii="Arial" w:eastAsia="Times New Roman" w:hAnsi="Arial" w:cs="Arial"/>
                <w:sz w:val="24"/>
                <w:szCs w:val="24"/>
              </w:rPr>
            </w:pPr>
            <w:r w:rsidRPr="001D431A">
              <w:rPr>
                <w:rFonts w:ascii="Arial" w:eastAsia="Times New Roman" w:hAnsi="Arial" w:cs="Arial"/>
                <w:sz w:val="24"/>
                <w:szCs w:val="24"/>
              </w:rPr>
              <w:t xml:space="preserve">After fifteen (15) years continuous service in the District, an employee who separates from the District because of retirement, resignation or death shall receive payment for all accrued, unused general/sick leave days up to a maximum of one hundred forty-seven (147) days at the rate based on the leave </w:t>
            </w:r>
            <w:bookmarkStart w:id="0" w:name="LPHit2"/>
            <w:bookmarkEnd w:id="0"/>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tier system herein described, provided that the employee's services have been provided in a satisfactory, ethical, and professional manner (including, but not limited to, resignation in lieu of termination or non-renewal or significant disciplinary issues).  Employees do not receive payment for credited days that the employee has not yet accrued.  If an eligible employee dies, the above amount shall be paid directly to the employee's beneficiary/estate.</w:t>
            </w: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gridAfter w:val="2"/>
          <w:trHeight w:val="15"/>
          <w:tblCellSpacing w:w="0" w:type="dxa"/>
        </w:trPr>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after="0" w:line="240" w:lineRule="auto"/>
              <w:rPr>
                <w:rFonts w:ascii="Arial" w:eastAsia="Times New Roman" w:hAnsi="Arial" w:cs="Arial"/>
                <w:sz w:val="2"/>
                <w:szCs w:val="24"/>
              </w:rPr>
            </w:pPr>
          </w:p>
        </w:tc>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gridAfter w:val="2"/>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gridAfter w:val="2"/>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b/>
                <w:sz w:val="24"/>
                <w:szCs w:val="24"/>
              </w:rPr>
            </w:pPr>
            <w:r w:rsidRPr="001D431A">
              <w:rPr>
                <w:rFonts w:ascii="Arial" w:eastAsia="Times New Roman" w:hAnsi="Arial" w:cs="Arial"/>
                <w:b/>
                <w:bCs/>
                <w:iCs/>
                <w:sz w:val="24"/>
                <w:szCs w:val="24"/>
              </w:rPr>
              <w:t xml:space="preserve">Leave </w:t>
            </w:r>
            <w:bookmarkStart w:id="1" w:name="LPHit3"/>
            <w:bookmarkEnd w:id="1"/>
            <w:r w:rsidRPr="001D431A">
              <w:rPr>
                <w:rFonts w:ascii="Arial" w:eastAsia="Times New Roman" w:hAnsi="Arial" w:cs="Arial"/>
                <w:b/>
                <w:bCs/>
                <w:iCs/>
                <w:sz w:val="24"/>
                <w:szCs w:val="24"/>
              </w:rPr>
              <w:t>Buyout Tier System</w:t>
            </w: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rHeight w:val="15"/>
          <w:tblCellSpacing w:w="0" w:type="dxa"/>
        </w:trPr>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
                <w:szCs w:val="24"/>
              </w:rPr>
            </w:pPr>
          </w:p>
        </w:tc>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before="100" w:beforeAutospacing="1" w:after="100" w:afterAutospacing="1" w:line="240" w:lineRule="auto"/>
              <w:rPr>
                <w:rFonts w:ascii="Arial" w:eastAsia="Times New Roman" w:hAnsi="Arial" w:cs="Arial"/>
                <w:sz w:val="24"/>
                <w:szCs w:val="24"/>
              </w:rPr>
            </w:pPr>
            <w:r w:rsidRPr="001D431A">
              <w:rPr>
                <w:rFonts w:ascii="Arial" w:eastAsia="Times New Roman" w:hAnsi="Arial" w:cs="Arial"/>
                <w:sz w:val="24"/>
                <w:szCs w:val="24"/>
              </w:rPr>
              <w:t xml:space="preserve">Employees who have served fifteen (15th) consecutive years through the end of the twenty-fourth (24th) consecutive year will receive rate </w:t>
            </w:r>
            <w:bookmarkStart w:id="2" w:name="LPHit4"/>
            <w:bookmarkEnd w:id="2"/>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of fifty percent (50%) of the current beginning substitute teacher's daily rate.</w:t>
            </w: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rHeight w:val="15"/>
          <w:tblCellSpacing w:w="0" w:type="dxa"/>
        </w:trPr>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
                <w:szCs w:val="24"/>
              </w:rPr>
            </w:pPr>
          </w:p>
        </w:tc>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before="100" w:beforeAutospacing="1" w:after="100" w:afterAutospacing="1" w:line="240" w:lineRule="auto"/>
              <w:rPr>
                <w:rFonts w:ascii="Arial" w:eastAsia="Times New Roman" w:hAnsi="Arial" w:cs="Arial"/>
                <w:sz w:val="24"/>
                <w:szCs w:val="24"/>
              </w:rPr>
            </w:pPr>
            <w:r w:rsidRPr="001D431A">
              <w:rPr>
                <w:rFonts w:ascii="Arial" w:eastAsia="Times New Roman" w:hAnsi="Arial" w:cs="Arial"/>
                <w:sz w:val="24"/>
                <w:szCs w:val="24"/>
              </w:rPr>
              <w:t xml:space="preserve">Employees who have served twenty-five (25th) consecutive years through the end of the twenty-ninth (29th) consecutive year will receive rate </w:t>
            </w:r>
            <w:bookmarkStart w:id="3" w:name="LPHit5"/>
            <w:bookmarkEnd w:id="3"/>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of seventy-five percent (75%) of the current beginning substitute teacher's daily rate.</w:t>
            </w: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rHeight w:val="15"/>
          <w:tblCellSpacing w:w="0" w:type="dxa"/>
        </w:trPr>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
                <w:szCs w:val="24"/>
              </w:rPr>
            </w:pPr>
          </w:p>
        </w:tc>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before="100" w:beforeAutospacing="1" w:after="100" w:afterAutospacing="1" w:line="240" w:lineRule="auto"/>
              <w:rPr>
                <w:rFonts w:ascii="Arial" w:eastAsia="Times New Roman" w:hAnsi="Arial" w:cs="Arial"/>
                <w:sz w:val="24"/>
                <w:szCs w:val="24"/>
              </w:rPr>
            </w:pPr>
            <w:r w:rsidRPr="001D431A">
              <w:rPr>
                <w:rFonts w:ascii="Arial" w:eastAsia="Times New Roman" w:hAnsi="Arial" w:cs="Arial"/>
                <w:sz w:val="24"/>
                <w:szCs w:val="24"/>
              </w:rPr>
              <w:t xml:space="preserve">Employees who have served the thirty (30th) consecutive years or above will receive rate </w:t>
            </w:r>
            <w:bookmarkStart w:id="4" w:name="LPHit6"/>
            <w:bookmarkEnd w:id="4"/>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of one-hundred percent (100%) of the current beginning substitute teacher's daily rate.</w:t>
            </w: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rHeight w:val="15"/>
          <w:tblCellSpacing w:w="0" w:type="dxa"/>
        </w:trPr>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
                <w:szCs w:val="24"/>
              </w:rPr>
            </w:pPr>
          </w:p>
        </w:tc>
        <w:tc>
          <w:tcPr>
            <w:tcW w:w="0" w:type="auto"/>
            <w:vMerge w:val="restart"/>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5"/>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r w:rsidR="001D431A" w:rsidRPr="001D431A" w:rsidTr="001D431A">
        <w:trPr>
          <w:tblCellSpacing w:w="0" w:type="dxa"/>
        </w:trPr>
        <w:tc>
          <w:tcPr>
            <w:tcW w:w="0" w:type="auto"/>
            <w:vMerge/>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vAlign w:val="center"/>
            <w:hideMark/>
          </w:tcPr>
          <w:p w:rsidR="001D431A" w:rsidRPr="001D431A" w:rsidRDefault="001D431A" w:rsidP="001D431A">
            <w:pPr>
              <w:spacing w:after="0" w:line="240" w:lineRule="auto"/>
              <w:rPr>
                <w:rFonts w:ascii="Arial" w:eastAsia="Times New Roman" w:hAnsi="Arial" w:cs="Arial"/>
                <w:sz w:val="24"/>
                <w:szCs w:val="24"/>
              </w:rPr>
            </w:pPr>
          </w:p>
        </w:tc>
        <w:tc>
          <w:tcPr>
            <w:tcW w:w="0" w:type="auto"/>
            <w:gridSpan w:val="3"/>
            <w:vAlign w:val="center"/>
            <w:hideMark/>
          </w:tcPr>
          <w:p w:rsidR="001D431A" w:rsidRPr="001D431A" w:rsidRDefault="001D431A" w:rsidP="001D431A">
            <w:pPr>
              <w:spacing w:before="100" w:beforeAutospacing="1" w:after="100" w:afterAutospacing="1" w:line="240" w:lineRule="auto"/>
              <w:rPr>
                <w:rFonts w:ascii="Arial" w:eastAsia="Times New Roman" w:hAnsi="Arial" w:cs="Arial"/>
                <w:sz w:val="24"/>
                <w:szCs w:val="24"/>
              </w:rPr>
            </w:pPr>
            <w:r w:rsidRPr="001D431A">
              <w:rPr>
                <w:rFonts w:ascii="Arial" w:eastAsia="Times New Roman" w:hAnsi="Arial" w:cs="Arial"/>
                <w:sz w:val="24"/>
                <w:szCs w:val="24"/>
              </w:rPr>
              <w:t xml:space="preserve">Employees resigning/retiring from the District must notify Human Resources of this in writing by February 1 to ensure they will receive their leave </w:t>
            </w:r>
            <w:bookmarkStart w:id="5" w:name="LPHit7"/>
            <w:bookmarkEnd w:id="5"/>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during that fiscal year.  Failure to do so will result in the </w:t>
            </w:r>
            <w:bookmarkStart w:id="6" w:name="LPHit8"/>
            <w:bookmarkEnd w:id="6"/>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being delayed into the next fiscal year and will result in a reduction in the </w:t>
            </w:r>
            <w:bookmarkStart w:id="7" w:name="LPHit9"/>
            <w:bookmarkEnd w:id="7"/>
            <w:r w:rsidRPr="001D431A">
              <w:rPr>
                <w:rFonts w:ascii="Arial" w:eastAsia="Times New Roman" w:hAnsi="Arial" w:cs="Arial"/>
                <w:bCs/>
                <w:sz w:val="24"/>
                <w:szCs w:val="24"/>
              </w:rPr>
              <w:t>buyout</w:t>
            </w:r>
            <w:r w:rsidRPr="001D431A">
              <w:rPr>
                <w:rFonts w:ascii="Arial" w:eastAsia="Times New Roman" w:hAnsi="Arial" w:cs="Arial"/>
                <w:sz w:val="24"/>
                <w:szCs w:val="24"/>
              </w:rPr>
              <w:t xml:space="preserve"> by fifty (50) percent unless special health related or extraordinary circumstances occur.  In which case, the Superintendent must approve exceptions</w:t>
            </w:r>
          </w:p>
        </w:tc>
        <w:tc>
          <w:tcPr>
            <w:tcW w:w="0" w:type="auto"/>
            <w:vAlign w:val="center"/>
            <w:hideMark/>
          </w:tcPr>
          <w:p w:rsidR="001D431A" w:rsidRPr="001D431A" w:rsidRDefault="001D431A" w:rsidP="001D431A">
            <w:pPr>
              <w:spacing w:after="0" w:line="240" w:lineRule="auto"/>
              <w:rPr>
                <w:rFonts w:ascii="Arial" w:eastAsia="Times New Roman" w:hAnsi="Arial" w:cs="Arial"/>
                <w:sz w:val="20"/>
                <w:szCs w:val="20"/>
              </w:rPr>
            </w:pPr>
          </w:p>
        </w:tc>
        <w:tc>
          <w:tcPr>
            <w:tcW w:w="0" w:type="auto"/>
            <w:vMerge/>
            <w:vAlign w:val="center"/>
            <w:hideMark/>
          </w:tcPr>
          <w:p w:rsidR="001D431A" w:rsidRPr="001D431A" w:rsidRDefault="001D431A" w:rsidP="001D431A">
            <w:pPr>
              <w:spacing w:after="0" w:line="240" w:lineRule="auto"/>
              <w:rPr>
                <w:rFonts w:ascii="Arial" w:eastAsia="Times New Roman" w:hAnsi="Arial" w:cs="Arial"/>
                <w:sz w:val="2"/>
                <w:szCs w:val="24"/>
              </w:rPr>
            </w:pPr>
          </w:p>
        </w:tc>
      </w:tr>
    </w:tbl>
    <w:p w:rsidR="00EF270B" w:rsidRDefault="001D431A">
      <w:pPr>
        <w:rPr>
          <w:rFonts w:ascii="Arial" w:hAnsi="Arial" w:cs="Arial"/>
        </w:rPr>
      </w:pPr>
    </w:p>
    <w:p w:rsidR="001D431A" w:rsidRPr="001D431A" w:rsidRDefault="001D431A">
      <w:pPr>
        <w:rPr>
          <w:rFonts w:ascii="Arial" w:hAnsi="Arial" w:cs="Arial"/>
        </w:rPr>
      </w:pPr>
      <w:r>
        <w:rPr>
          <w:rFonts w:ascii="New Century Schlbk" w:hAnsi="New Century Schlbk"/>
          <w:b/>
          <w:bCs/>
          <w:color w:val="000000"/>
        </w:rPr>
        <w:t>G-2550     </w:t>
      </w:r>
      <w:r>
        <w:rPr>
          <w:rFonts w:ascii="New Century Schlbk" w:hAnsi="New Century Schlbk"/>
          <w:color w:val="000000"/>
        </w:rPr>
        <w:t>     </w:t>
      </w:r>
      <w:bookmarkStart w:id="8" w:name="JD_GCCA"/>
      <w:bookmarkEnd w:id="8"/>
      <w:r>
        <w:rPr>
          <w:rFonts w:ascii="New Century Schlbk" w:hAnsi="New Century Schlbk"/>
          <w:b/>
          <w:bCs/>
          <w:color w:val="000000"/>
        </w:rPr>
        <w:t>GCCA/GDCA  </w:t>
      </w:r>
    </w:p>
    <w:sectPr w:rsidR="001D431A" w:rsidRPr="001D431A" w:rsidSect="003B46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431A"/>
    <w:rsid w:val="00152094"/>
    <w:rsid w:val="001D431A"/>
    <w:rsid w:val="003B466A"/>
    <w:rsid w:val="006D5B40"/>
    <w:rsid w:val="00926A65"/>
    <w:rsid w:val="00C52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3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5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aparafi</dc:creator>
  <cp:lastModifiedBy>aparafi</cp:lastModifiedBy>
  <cp:revision>1</cp:revision>
  <dcterms:created xsi:type="dcterms:W3CDTF">2014-07-09T22:46:00Z</dcterms:created>
  <dcterms:modified xsi:type="dcterms:W3CDTF">2014-07-09T22:51:00Z</dcterms:modified>
</cp:coreProperties>
</file>